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BF0" w:rsidRPr="00CE1BF0" w:rsidRDefault="00CE1BF0" w:rsidP="00CE1BF0">
      <w:pPr>
        <w:spacing w:after="200" w:line="276" w:lineRule="auto"/>
        <w:jc w:val="both"/>
        <w:rPr>
          <w:rFonts w:ascii="Calibri" w:eastAsia="Calibri" w:hAnsi="Calibri" w:cs="Arial"/>
          <w:b/>
          <w:bCs/>
          <w:color w:val="auto"/>
          <w:sz w:val="32"/>
          <w:szCs w:val="32"/>
          <w:lang w:val="en-US"/>
        </w:rPr>
      </w:pPr>
      <w:r w:rsidRPr="00CE1BF0">
        <w:rPr>
          <w:rFonts w:ascii="Calibri" w:eastAsia="Calibri" w:hAnsi="Calibri" w:cs="Arial"/>
          <w:b/>
          <w:bCs/>
          <w:color w:val="auto"/>
          <w:sz w:val="32"/>
          <w:szCs w:val="32"/>
          <w:lang w:val="en-US"/>
        </w:rPr>
        <w:t>GOAL 8</w:t>
      </w:r>
    </w:p>
    <w:p w:rsidR="00CE1BF0" w:rsidRPr="00CE1BF0" w:rsidRDefault="00CE1BF0" w:rsidP="00CE1BF0">
      <w:pPr>
        <w:spacing w:after="200" w:line="276" w:lineRule="auto"/>
        <w:rPr>
          <w:rFonts w:ascii="Calibri" w:eastAsia="Calibri" w:hAnsi="Calibri" w:cs="Arial"/>
          <w:color w:val="auto"/>
          <w:sz w:val="22"/>
          <w:szCs w:val="22"/>
          <w:lang w:val="en-US"/>
        </w:rPr>
      </w:pPr>
      <w:r w:rsidRPr="00CE1BF0">
        <w:rPr>
          <w:rFonts w:ascii="Calibri" w:eastAsia="Calibri" w:hAnsi="Calibri" w:cs="Arial"/>
          <w:noProof/>
          <w:color w:val="auto"/>
          <w:sz w:val="22"/>
          <w:szCs w:val="22"/>
          <w:lang w:eastAsia="en-GB"/>
        </w:rPr>
        <w:drawing>
          <wp:inline distT="0" distB="0" distL="0" distR="0" wp14:anchorId="028D9413" wp14:editId="0C7640CC">
            <wp:extent cx="8892540" cy="544511"/>
            <wp:effectExtent l="0" t="0" r="3810" b="8255"/>
            <wp:docPr id="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92540" cy="544511"/>
                    </a:xfrm>
                    <a:prstGeom prst="rect">
                      <a:avLst/>
                    </a:prstGeom>
                    <a:noFill/>
                    <a:ln>
                      <a:noFill/>
                    </a:ln>
                  </pic:spPr>
                </pic:pic>
              </a:graphicData>
            </a:graphic>
          </wp:inline>
        </w:drawing>
      </w:r>
    </w:p>
    <w:p w:rsidR="00CE1BF0" w:rsidRPr="00CE1BF0" w:rsidRDefault="00CE1BF0" w:rsidP="00CE1BF0">
      <w:pPr>
        <w:spacing w:after="200" w:line="276" w:lineRule="auto"/>
        <w:jc w:val="both"/>
        <w:rPr>
          <w:rFonts w:ascii="Calibri" w:eastAsia="Calibri" w:hAnsi="Calibri" w:cs="Arial"/>
          <w:color w:val="auto"/>
          <w:sz w:val="22"/>
          <w:szCs w:val="22"/>
          <w:lang w:val="en-US"/>
        </w:rPr>
      </w:pPr>
      <w:r w:rsidRPr="00CE1BF0">
        <w:rPr>
          <w:rFonts w:ascii="Calibri" w:eastAsia="Calibri" w:hAnsi="Calibri" w:cs="Arial"/>
          <w:color w:val="auto"/>
          <w:sz w:val="22"/>
          <w:szCs w:val="22"/>
          <w:lang w:val="en-US"/>
        </w:rPr>
        <w:t xml:space="preserve">The exponential development of online shopping transactions will lead to e-commerce driven economies in the next two decades. Online orders will reflect the evolution of global economic conditions. Postal, parcel and express delivery networks are both dealing with the physical logistics related to the delivery of goods ordered on-line as well as with numerous payment transactions related to e-commerce.  </w:t>
      </w:r>
    </w:p>
    <w:p w:rsidR="00CE1BF0" w:rsidRPr="00CE1BF0" w:rsidRDefault="00CE1BF0" w:rsidP="00CE1BF0">
      <w:pPr>
        <w:spacing w:after="200" w:line="276" w:lineRule="auto"/>
        <w:jc w:val="both"/>
        <w:rPr>
          <w:rFonts w:ascii="Calibri" w:eastAsia="Calibri" w:hAnsi="Calibri" w:cs="Arial"/>
          <w:b/>
          <w:bCs/>
          <w:i/>
          <w:iCs/>
          <w:color w:val="auto"/>
          <w:sz w:val="22"/>
          <w:szCs w:val="22"/>
          <w:lang w:val="en-US"/>
        </w:rPr>
      </w:pPr>
      <w:r w:rsidRPr="00CE1BF0">
        <w:rPr>
          <w:rFonts w:ascii="Calibri" w:eastAsia="Calibri" w:hAnsi="Calibri" w:cs="Arial"/>
          <w:b/>
          <w:bCs/>
          <w:i/>
          <w:iCs/>
          <w:color w:val="auto"/>
          <w:sz w:val="22"/>
          <w:szCs w:val="22"/>
          <w:lang w:val="en-US"/>
        </w:rPr>
        <w:t>Enriching indicator 8.1.1 with complementary data</w:t>
      </w:r>
    </w:p>
    <w:p w:rsidR="00CE1BF0" w:rsidRPr="00CE1BF0" w:rsidRDefault="00CE1BF0" w:rsidP="00CE1BF0">
      <w:pPr>
        <w:spacing w:after="200" w:line="276" w:lineRule="auto"/>
        <w:jc w:val="both"/>
        <w:rPr>
          <w:rFonts w:ascii="Calibri" w:eastAsia="Calibri" w:hAnsi="Calibri" w:cs="Arial"/>
          <w:color w:val="auto"/>
          <w:sz w:val="22"/>
          <w:szCs w:val="22"/>
          <w:lang w:val="en-US"/>
        </w:rPr>
      </w:pPr>
      <w:r w:rsidRPr="00CE1BF0">
        <w:rPr>
          <w:rFonts w:ascii="Calibri" w:eastAsia="Calibri" w:hAnsi="Calibri" w:cs="Arial"/>
          <w:color w:val="auto"/>
          <w:sz w:val="22"/>
          <w:szCs w:val="22"/>
          <w:lang w:val="en-US"/>
        </w:rPr>
        <w:t xml:space="preserve">The proxy indicators suggested by the UPU for monitoring GDP or other macroeconomic indicators in real time are derived from past UPU work on the link between postal big data and global macroeconomic conditions on the one hand, and on the expected outcomes of an on-going research collaboration between the UPU, UN Global Pulse and UNSD </w:t>
      </w:r>
      <w:proofErr w:type="spellStart"/>
      <w:r w:rsidRPr="00CE1BF0">
        <w:rPr>
          <w:rFonts w:ascii="Calibri" w:eastAsia="Calibri" w:hAnsi="Calibri" w:cs="Arial"/>
          <w:color w:val="auto"/>
          <w:sz w:val="22"/>
          <w:szCs w:val="22"/>
          <w:lang w:val="en-US"/>
        </w:rPr>
        <w:t>Comtrade</w:t>
      </w:r>
      <w:proofErr w:type="spellEnd"/>
      <w:r w:rsidRPr="00CE1BF0">
        <w:rPr>
          <w:rFonts w:ascii="Calibri" w:eastAsia="Calibri" w:hAnsi="Calibri" w:cs="Arial"/>
          <w:color w:val="auto"/>
          <w:sz w:val="22"/>
          <w:szCs w:val="22"/>
          <w:lang w:val="en-US"/>
        </w:rPr>
        <w:t xml:space="preserve">. </w:t>
      </w:r>
    </w:p>
    <w:p w:rsidR="00CE1BF0" w:rsidRPr="00CE1BF0" w:rsidRDefault="00CE1BF0" w:rsidP="00CE1BF0">
      <w:pPr>
        <w:spacing w:after="200" w:line="276" w:lineRule="auto"/>
        <w:jc w:val="both"/>
        <w:rPr>
          <w:rFonts w:ascii="Calibri" w:eastAsia="Calibri" w:hAnsi="Calibri" w:cs="Arial"/>
          <w:color w:val="auto"/>
          <w:sz w:val="22"/>
          <w:szCs w:val="22"/>
          <w:lang w:val="en-US"/>
        </w:rPr>
      </w:pPr>
      <w:r w:rsidRPr="00CE1BF0">
        <w:rPr>
          <w:rFonts w:ascii="Calibri" w:eastAsia="Calibri" w:hAnsi="Calibri" w:cs="Arial"/>
          <w:color w:val="auto"/>
          <w:sz w:val="22"/>
          <w:szCs w:val="22"/>
          <w:lang w:val="en-US"/>
        </w:rPr>
        <w:t xml:space="preserve">The UPU collects real-time tracking data on international e-commerce transactions totaling several billions records every year. This postal big data consolidation could be potentially expanded to domestic e-commerce transactions over the coming years. The tracking data available can go up to the shipment level. Protection of personal data and information is fully ensured. </w:t>
      </w:r>
    </w:p>
    <w:p w:rsidR="00CE1BF0" w:rsidRPr="00CE1BF0" w:rsidRDefault="00CE1BF0" w:rsidP="00CE1BF0">
      <w:pPr>
        <w:spacing w:after="200" w:line="276" w:lineRule="auto"/>
        <w:jc w:val="both"/>
        <w:rPr>
          <w:rFonts w:ascii="Calibri" w:eastAsia="Calibri" w:hAnsi="Calibri" w:cs="Arial"/>
          <w:i/>
          <w:iCs/>
          <w:color w:val="auto"/>
          <w:sz w:val="18"/>
          <w:szCs w:val="18"/>
          <w:lang w:val="en-US"/>
        </w:rPr>
      </w:pPr>
      <w:r w:rsidRPr="00CE1BF0">
        <w:rPr>
          <w:rFonts w:ascii="Calibri" w:eastAsia="Calibri" w:hAnsi="Calibri" w:cs="Arial"/>
          <w:i/>
          <w:iCs/>
          <w:color w:val="auto"/>
          <w:sz w:val="18"/>
          <w:szCs w:val="18"/>
          <w:lang w:val="en-US"/>
        </w:rPr>
        <w:t>References</w:t>
      </w:r>
    </w:p>
    <w:p w:rsidR="00CE1BF0" w:rsidRPr="00CE1BF0" w:rsidRDefault="00CE1BF0" w:rsidP="00CE1BF0">
      <w:pPr>
        <w:spacing w:after="200" w:line="276" w:lineRule="auto"/>
        <w:rPr>
          <w:rFonts w:ascii="Calibri" w:eastAsia="Calibri" w:hAnsi="Calibri" w:cs="Arial"/>
          <w:color w:val="auto"/>
          <w:sz w:val="18"/>
          <w:szCs w:val="18"/>
          <w:lang w:val="en-US"/>
        </w:rPr>
      </w:pPr>
      <w:proofErr w:type="spellStart"/>
      <w:r w:rsidRPr="00CE1BF0">
        <w:rPr>
          <w:rFonts w:ascii="Calibri" w:eastAsia="Calibri" w:hAnsi="Calibri" w:cs="Arial"/>
          <w:color w:val="auto"/>
          <w:sz w:val="18"/>
          <w:szCs w:val="18"/>
          <w:lang w:val="en-US"/>
        </w:rPr>
        <w:t>Ansón</w:t>
      </w:r>
      <w:proofErr w:type="spellEnd"/>
      <w:r w:rsidRPr="00CE1BF0">
        <w:rPr>
          <w:rFonts w:ascii="Calibri" w:eastAsia="Calibri" w:hAnsi="Calibri" w:cs="Arial"/>
          <w:color w:val="auto"/>
          <w:sz w:val="18"/>
          <w:szCs w:val="18"/>
          <w:lang w:val="en-US"/>
        </w:rPr>
        <w:t xml:space="preserve"> </w:t>
      </w:r>
      <w:proofErr w:type="gramStart"/>
      <w:r w:rsidRPr="00CE1BF0">
        <w:rPr>
          <w:rFonts w:ascii="Calibri" w:eastAsia="Calibri" w:hAnsi="Calibri" w:cs="Arial"/>
          <w:color w:val="auto"/>
          <w:sz w:val="18"/>
          <w:szCs w:val="18"/>
          <w:lang w:val="en-US"/>
        </w:rPr>
        <w:t>J.,</w:t>
      </w:r>
      <w:proofErr w:type="gramEnd"/>
      <w:r w:rsidRPr="00CE1BF0">
        <w:rPr>
          <w:rFonts w:ascii="Calibri" w:eastAsia="Calibri" w:hAnsi="Calibri" w:cs="Arial"/>
          <w:color w:val="auto"/>
          <w:sz w:val="18"/>
          <w:szCs w:val="18"/>
          <w:lang w:val="en-US"/>
        </w:rPr>
        <w:t xml:space="preserve"> and M. </w:t>
      </w:r>
      <w:proofErr w:type="spellStart"/>
      <w:r w:rsidRPr="00CE1BF0">
        <w:rPr>
          <w:rFonts w:ascii="Calibri" w:eastAsia="Calibri" w:hAnsi="Calibri" w:cs="Arial"/>
          <w:color w:val="auto"/>
          <w:sz w:val="18"/>
          <w:szCs w:val="18"/>
          <w:lang w:val="en-US"/>
        </w:rPr>
        <w:t>Helble</w:t>
      </w:r>
      <w:proofErr w:type="spellEnd"/>
      <w:r w:rsidRPr="00CE1BF0">
        <w:rPr>
          <w:rFonts w:ascii="Calibri" w:eastAsia="Calibri" w:hAnsi="Calibri" w:cs="Arial"/>
          <w:color w:val="auto"/>
          <w:sz w:val="18"/>
          <w:szCs w:val="18"/>
          <w:lang w:val="en-US"/>
        </w:rPr>
        <w:t xml:space="preserve"> (2014). </w:t>
      </w:r>
      <w:proofErr w:type="gramStart"/>
      <w:r w:rsidRPr="00CE1BF0">
        <w:rPr>
          <w:rFonts w:ascii="Calibri" w:eastAsia="Calibri" w:hAnsi="Calibri" w:cs="Arial"/>
          <w:color w:val="auto"/>
          <w:sz w:val="18"/>
          <w:szCs w:val="18"/>
          <w:lang w:val="en-US"/>
        </w:rPr>
        <w:t xml:space="preserve">Big postal data, </w:t>
      </w:r>
      <w:proofErr w:type="spellStart"/>
      <w:r w:rsidRPr="00CE1BF0">
        <w:rPr>
          <w:rFonts w:ascii="Calibri" w:eastAsia="Calibri" w:hAnsi="Calibri" w:cs="Arial"/>
          <w:color w:val="auto"/>
          <w:sz w:val="18"/>
          <w:szCs w:val="18"/>
          <w:lang w:val="en-US"/>
        </w:rPr>
        <w:t>nowcasting</w:t>
      </w:r>
      <w:proofErr w:type="spellEnd"/>
      <w:r w:rsidRPr="00CE1BF0">
        <w:rPr>
          <w:rFonts w:ascii="Calibri" w:eastAsia="Calibri" w:hAnsi="Calibri" w:cs="Arial"/>
          <w:color w:val="auto"/>
          <w:sz w:val="18"/>
          <w:szCs w:val="18"/>
          <w:lang w:val="en-US"/>
        </w:rPr>
        <w:t xml:space="preserve"> and the global pulse of the economy.</w:t>
      </w:r>
      <w:proofErr w:type="gramEnd"/>
      <w:r w:rsidRPr="00CE1BF0">
        <w:rPr>
          <w:rFonts w:ascii="Calibri" w:eastAsia="Calibri" w:hAnsi="Calibri" w:cs="Arial"/>
          <w:color w:val="auto"/>
          <w:sz w:val="18"/>
          <w:szCs w:val="18"/>
          <w:lang w:val="en-US"/>
        </w:rPr>
        <w:t xml:space="preserve"> Chapter 7 in Development Strategies for the Postal Sector: an Economic Perspective. </w:t>
      </w:r>
      <w:proofErr w:type="gramStart"/>
      <w:r w:rsidRPr="00CE1BF0">
        <w:rPr>
          <w:rFonts w:ascii="Calibri" w:eastAsia="Calibri" w:hAnsi="Calibri" w:cs="Arial"/>
          <w:color w:val="auto"/>
          <w:sz w:val="18"/>
          <w:szCs w:val="18"/>
          <w:lang w:val="en-US"/>
        </w:rPr>
        <w:t>UPU.</w:t>
      </w:r>
      <w:proofErr w:type="gramEnd"/>
      <w:r w:rsidRPr="00CE1BF0">
        <w:rPr>
          <w:rFonts w:ascii="Calibri" w:eastAsia="Calibri" w:hAnsi="Calibri" w:cs="Arial"/>
          <w:color w:val="auto"/>
          <w:sz w:val="18"/>
          <w:szCs w:val="18"/>
          <w:lang w:val="en-US"/>
        </w:rPr>
        <w:br/>
        <w:t xml:space="preserve">At: </w:t>
      </w:r>
      <w:hyperlink r:id="rId6" w:history="1">
        <w:r w:rsidRPr="00CE1BF0">
          <w:rPr>
            <w:rFonts w:ascii="Calibri" w:eastAsia="Calibri" w:hAnsi="Calibri" w:cs="Arial"/>
            <w:color w:val="0000FF"/>
            <w:sz w:val="18"/>
            <w:szCs w:val="18"/>
            <w:u w:val="single"/>
            <w:lang w:val="en-US"/>
          </w:rPr>
          <w:t>http://www.upu.int/uploads/tx_sbdownloader/publicationTrendsDevelopmentStrategiesForThePostalSectorEn.pdf</w:t>
        </w:r>
      </w:hyperlink>
    </w:p>
    <w:p w:rsidR="00CE1BF0" w:rsidRPr="00CE1BF0" w:rsidRDefault="00CE1BF0" w:rsidP="00CE1BF0">
      <w:pPr>
        <w:spacing w:after="200" w:line="276" w:lineRule="auto"/>
        <w:rPr>
          <w:rFonts w:ascii="Calibri" w:eastAsia="Calibri" w:hAnsi="Calibri" w:cs="Arial"/>
          <w:color w:val="auto"/>
          <w:sz w:val="18"/>
          <w:szCs w:val="18"/>
          <w:lang w:val="en-US"/>
        </w:rPr>
      </w:pPr>
    </w:p>
    <w:p w:rsidR="00CE1BF0" w:rsidRPr="00CE1BF0" w:rsidRDefault="00CE1BF0" w:rsidP="00CE1BF0">
      <w:pPr>
        <w:spacing w:after="200" w:line="276" w:lineRule="auto"/>
        <w:rPr>
          <w:rFonts w:ascii="Calibri" w:eastAsia="Calibri" w:hAnsi="Calibri" w:cs="Arial"/>
          <w:color w:val="auto"/>
          <w:sz w:val="22"/>
          <w:szCs w:val="22"/>
          <w:lang w:val="en-US"/>
        </w:rPr>
      </w:pPr>
      <w:r w:rsidRPr="00CE1BF0">
        <w:rPr>
          <w:rFonts w:ascii="Calibri" w:eastAsia="Calibri" w:hAnsi="Calibri" w:cs="Arial"/>
          <w:noProof/>
          <w:color w:val="auto"/>
          <w:sz w:val="22"/>
          <w:szCs w:val="22"/>
          <w:lang w:eastAsia="en-GB"/>
        </w:rPr>
        <w:drawing>
          <wp:inline distT="0" distB="0" distL="0" distR="0" wp14:anchorId="2FA085D0" wp14:editId="3C3A53C5">
            <wp:extent cx="8892540" cy="318387"/>
            <wp:effectExtent l="0" t="0" r="0" b="5715"/>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92540" cy="318387"/>
                    </a:xfrm>
                    <a:prstGeom prst="rect">
                      <a:avLst/>
                    </a:prstGeom>
                    <a:noFill/>
                    <a:ln>
                      <a:noFill/>
                    </a:ln>
                  </pic:spPr>
                </pic:pic>
              </a:graphicData>
            </a:graphic>
          </wp:inline>
        </w:drawing>
      </w:r>
    </w:p>
    <w:p w:rsidR="00CE1BF0" w:rsidRPr="00CE1BF0" w:rsidRDefault="00CE1BF0" w:rsidP="00CE1BF0">
      <w:pPr>
        <w:spacing w:after="200" w:line="276" w:lineRule="auto"/>
        <w:jc w:val="both"/>
        <w:rPr>
          <w:rFonts w:ascii="Calibri" w:eastAsia="Calibri" w:hAnsi="Calibri" w:cs="Arial"/>
          <w:color w:val="auto"/>
          <w:sz w:val="22"/>
          <w:szCs w:val="22"/>
          <w:lang w:val="en-US"/>
        </w:rPr>
      </w:pPr>
      <w:r w:rsidRPr="00CE1BF0">
        <w:rPr>
          <w:rFonts w:ascii="Calibri" w:eastAsia="Calibri" w:hAnsi="Calibri" w:cs="Arial"/>
          <w:color w:val="auto"/>
          <w:sz w:val="22"/>
          <w:szCs w:val="22"/>
          <w:lang w:val="en-US"/>
        </w:rPr>
        <w:t xml:space="preserve">Financial inclusion and access to a wide range of financial services is paramount to a sustainable economic and social development. Postal systems are very often providing a wide portfolio of payments and account services, either directly or in partnership with other financial institutions, totaling over a billion </w:t>
      </w:r>
      <w:r w:rsidRPr="00CE1BF0">
        <w:rPr>
          <w:rFonts w:ascii="Calibri" w:eastAsia="Calibri" w:hAnsi="Calibri" w:cs="Arial"/>
          <w:color w:val="auto"/>
          <w:sz w:val="22"/>
          <w:szCs w:val="22"/>
          <w:lang w:val="en-US"/>
        </w:rPr>
        <w:lastRenderedPageBreak/>
        <w:t>customers for postal accounts across the world. Postal networks are therefore the second contributor to financial inclusion after banks. These services are often used by the most vulnerable segments of the population.</w:t>
      </w:r>
    </w:p>
    <w:p w:rsidR="00CE1BF0" w:rsidRPr="00CE1BF0" w:rsidRDefault="00CE1BF0" w:rsidP="00CE1BF0">
      <w:pPr>
        <w:spacing w:after="200" w:line="276" w:lineRule="auto"/>
        <w:jc w:val="both"/>
        <w:rPr>
          <w:rFonts w:ascii="Calibri" w:eastAsia="Calibri" w:hAnsi="Calibri" w:cs="Arial"/>
          <w:b/>
          <w:bCs/>
          <w:i/>
          <w:iCs/>
          <w:color w:val="auto"/>
          <w:sz w:val="22"/>
          <w:szCs w:val="22"/>
          <w:lang w:val="en-US"/>
        </w:rPr>
      </w:pPr>
      <w:r w:rsidRPr="00CE1BF0">
        <w:rPr>
          <w:rFonts w:ascii="Calibri" w:eastAsia="Calibri" w:hAnsi="Calibri" w:cs="Arial"/>
          <w:b/>
          <w:bCs/>
          <w:i/>
          <w:iCs/>
          <w:color w:val="auto"/>
          <w:sz w:val="22"/>
          <w:szCs w:val="22"/>
          <w:lang w:val="en-US"/>
        </w:rPr>
        <w:t>Adding a new indicator 8.10.3</w:t>
      </w:r>
    </w:p>
    <w:p w:rsidR="00CE1BF0" w:rsidRPr="00CE1BF0" w:rsidRDefault="00CE1BF0" w:rsidP="00CE1BF0">
      <w:pPr>
        <w:spacing w:after="200" w:line="276" w:lineRule="auto"/>
        <w:jc w:val="both"/>
        <w:rPr>
          <w:rFonts w:ascii="Calibri" w:eastAsia="Calibri" w:hAnsi="Calibri" w:cs="Arial"/>
          <w:color w:val="auto"/>
          <w:sz w:val="22"/>
          <w:szCs w:val="22"/>
          <w:lang w:val="en-US"/>
        </w:rPr>
      </w:pPr>
      <w:r w:rsidRPr="00CE1BF0">
        <w:rPr>
          <w:rFonts w:ascii="Calibri" w:eastAsia="Calibri" w:hAnsi="Calibri" w:cs="Arial"/>
          <w:color w:val="auto"/>
          <w:sz w:val="22"/>
          <w:szCs w:val="22"/>
          <w:lang w:val="en-US"/>
        </w:rPr>
        <w:t xml:space="preserve">The indicators suggested by the UPU are derived from joint research work with the World Bank (Global </w:t>
      </w:r>
      <w:proofErr w:type="spellStart"/>
      <w:r w:rsidRPr="00CE1BF0">
        <w:rPr>
          <w:rFonts w:ascii="Calibri" w:eastAsia="Calibri" w:hAnsi="Calibri" w:cs="Arial"/>
          <w:color w:val="auto"/>
          <w:sz w:val="22"/>
          <w:szCs w:val="22"/>
          <w:lang w:val="en-US"/>
        </w:rPr>
        <w:t>Findex</w:t>
      </w:r>
      <w:proofErr w:type="spellEnd"/>
      <w:r w:rsidRPr="00CE1BF0">
        <w:rPr>
          <w:rFonts w:ascii="Calibri" w:eastAsia="Calibri" w:hAnsi="Calibri" w:cs="Arial"/>
          <w:color w:val="auto"/>
          <w:sz w:val="22"/>
          <w:szCs w:val="22"/>
          <w:lang w:val="en-US"/>
        </w:rPr>
        <w:t xml:space="preserve">) as well as with UN Women. These indicators were extensively used by both institutions and the UPU in a variety of activities and projects. </w:t>
      </w:r>
    </w:p>
    <w:p w:rsidR="00CE1BF0" w:rsidRPr="00CE1BF0" w:rsidRDefault="00CE1BF0" w:rsidP="00CE1BF0">
      <w:pPr>
        <w:spacing w:after="200" w:line="276" w:lineRule="auto"/>
        <w:rPr>
          <w:rFonts w:ascii="Calibri" w:eastAsia="Calibri" w:hAnsi="Calibri" w:cs="Arial"/>
          <w:color w:val="auto"/>
          <w:sz w:val="22"/>
          <w:szCs w:val="22"/>
          <w:lang w:val="en-US"/>
        </w:rPr>
      </w:pPr>
      <w:r w:rsidRPr="00CE1BF0">
        <w:rPr>
          <w:rFonts w:ascii="Calibri" w:eastAsia="Calibri" w:hAnsi="Calibri" w:cs="Arial"/>
          <w:color w:val="auto"/>
          <w:sz w:val="22"/>
          <w:szCs w:val="22"/>
          <w:lang w:val="en-US"/>
        </w:rPr>
        <w:t xml:space="preserve">The UPU collects data on a wide range of indicators on postal payment and account services. More details are provided in Annex 1 under the “financial services” section. Part of the data is also publicly available on the UPU website: </w:t>
      </w:r>
      <w:hyperlink r:id="rId8" w:history="1">
        <w:r w:rsidRPr="00CE1BF0">
          <w:rPr>
            <w:rFonts w:ascii="Calibri" w:eastAsia="Calibri" w:hAnsi="Calibri" w:cs="Arial"/>
            <w:color w:val="0000FF"/>
            <w:sz w:val="22"/>
            <w:szCs w:val="22"/>
            <w:u w:val="single"/>
            <w:lang w:val="en-US"/>
          </w:rPr>
          <w:t>http://pls.upu.int/pls/ap/ssp_report.main?p_language=AN&amp;p_choice=BROWSE</w:t>
        </w:r>
      </w:hyperlink>
      <w:r w:rsidRPr="00CE1BF0">
        <w:rPr>
          <w:rFonts w:ascii="Calibri" w:eastAsia="Calibri" w:hAnsi="Calibri" w:cs="Arial"/>
          <w:color w:val="auto"/>
          <w:sz w:val="22"/>
          <w:szCs w:val="22"/>
          <w:lang w:val="en-US"/>
        </w:rPr>
        <w:t xml:space="preserve"> .</w:t>
      </w:r>
    </w:p>
    <w:p w:rsidR="00CE1BF0" w:rsidRPr="00CE1BF0" w:rsidRDefault="00CE1BF0" w:rsidP="00CE1BF0">
      <w:pPr>
        <w:spacing w:after="200" w:line="276" w:lineRule="auto"/>
        <w:jc w:val="both"/>
        <w:rPr>
          <w:rFonts w:ascii="Calibri" w:eastAsia="Calibri" w:hAnsi="Calibri" w:cs="Arial"/>
          <w:i/>
          <w:iCs/>
          <w:color w:val="auto"/>
          <w:sz w:val="18"/>
          <w:szCs w:val="18"/>
          <w:lang w:val="en-US"/>
        </w:rPr>
      </w:pPr>
      <w:r w:rsidRPr="00CE1BF0">
        <w:rPr>
          <w:rFonts w:ascii="Calibri" w:eastAsia="Calibri" w:hAnsi="Calibri" w:cs="Arial"/>
          <w:i/>
          <w:iCs/>
          <w:color w:val="auto"/>
          <w:sz w:val="18"/>
          <w:szCs w:val="18"/>
          <w:lang w:val="en-US"/>
        </w:rPr>
        <w:t>References</w:t>
      </w:r>
    </w:p>
    <w:p w:rsidR="00CE1BF0" w:rsidRPr="00CE1BF0" w:rsidRDefault="00CE1BF0" w:rsidP="00CE1BF0">
      <w:pPr>
        <w:spacing w:after="200" w:line="276" w:lineRule="auto"/>
        <w:rPr>
          <w:rFonts w:ascii="Calibri" w:eastAsia="Calibri" w:hAnsi="Calibri" w:cs="Arial"/>
          <w:color w:val="auto"/>
          <w:sz w:val="18"/>
          <w:szCs w:val="18"/>
          <w:lang w:val="en-US"/>
        </w:rPr>
      </w:pPr>
      <w:proofErr w:type="spellStart"/>
      <w:proofErr w:type="gramStart"/>
      <w:r w:rsidRPr="00CE1BF0">
        <w:rPr>
          <w:rFonts w:ascii="Calibri" w:eastAsia="Calibri" w:hAnsi="Calibri" w:cs="Arial"/>
          <w:color w:val="auto"/>
          <w:sz w:val="18"/>
          <w:szCs w:val="18"/>
          <w:lang w:val="en-US"/>
        </w:rPr>
        <w:t>Ansón</w:t>
      </w:r>
      <w:proofErr w:type="spellEnd"/>
      <w:r w:rsidRPr="00CE1BF0">
        <w:rPr>
          <w:rFonts w:ascii="Calibri" w:eastAsia="Calibri" w:hAnsi="Calibri" w:cs="Arial"/>
          <w:color w:val="auto"/>
          <w:sz w:val="18"/>
          <w:szCs w:val="18"/>
          <w:lang w:val="en-US"/>
        </w:rPr>
        <w:t xml:space="preserve"> J., </w:t>
      </w:r>
      <w:proofErr w:type="spellStart"/>
      <w:r w:rsidRPr="00CE1BF0">
        <w:rPr>
          <w:rFonts w:ascii="Calibri" w:eastAsia="Calibri" w:hAnsi="Calibri" w:cs="Arial"/>
          <w:color w:val="auto"/>
          <w:sz w:val="18"/>
          <w:szCs w:val="18"/>
          <w:lang w:val="en-US"/>
        </w:rPr>
        <w:t>Berthaud</w:t>
      </w:r>
      <w:proofErr w:type="spellEnd"/>
      <w:r w:rsidRPr="00CE1BF0">
        <w:rPr>
          <w:rFonts w:ascii="Calibri" w:eastAsia="Calibri" w:hAnsi="Calibri" w:cs="Arial"/>
          <w:color w:val="auto"/>
          <w:sz w:val="18"/>
          <w:szCs w:val="18"/>
          <w:lang w:val="en-US"/>
        </w:rPr>
        <w:t xml:space="preserve"> A., </w:t>
      </w:r>
      <w:proofErr w:type="spellStart"/>
      <w:r w:rsidRPr="00CE1BF0">
        <w:rPr>
          <w:rFonts w:ascii="Calibri" w:eastAsia="Calibri" w:hAnsi="Calibri" w:cs="Arial"/>
          <w:color w:val="auto"/>
          <w:sz w:val="18"/>
          <w:szCs w:val="18"/>
          <w:lang w:val="en-US"/>
        </w:rPr>
        <w:t>Klapper</w:t>
      </w:r>
      <w:proofErr w:type="spellEnd"/>
      <w:r w:rsidRPr="00CE1BF0">
        <w:rPr>
          <w:rFonts w:ascii="Calibri" w:eastAsia="Calibri" w:hAnsi="Calibri" w:cs="Arial"/>
          <w:color w:val="auto"/>
          <w:sz w:val="18"/>
          <w:szCs w:val="18"/>
          <w:lang w:val="en-US"/>
        </w:rPr>
        <w:t xml:space="preserve"> L., and D. Singer (2013).</w:t>
      </w:r>
      <w:proofErr w:type="gramEnd"/>
      <w:r w:rsidRPr="00CE1BF0">
        <w:rPr>
          <w:rFonts w:ascii="Calibri" w:eastAsia="Calibri" w:hAnsi="Calibri" w:cs="Arial"/>
          <w:color w:val="auto"/>
          <w:sz w:val="18"/>
          <w:szCs w:val="18"/>
          <w:lang w:val="en-US"/>
        </w:rPr>
        <w:t xml:space="preserve"> </w:t>
      </w:r>
      <w:proofErr w:type="gramStart"/>
      <w:r w:rsidRPr="00CE1BF0">
        <w:rPr>
          <w:rFonts w:ascii="Calibri" w:eastAsia="Calibri" w:hAnsi="Calibri" w:cs="Arial"/>
          <w:color w:val="auto"/>
          <w:sz w:val="18"/>
          <w:szCs w:val="18"/>
          <w:lang w:val="en-US"/>
        </w:rPr>
        <w:t>Financial inclusion and the role of the post office.</w:t>
      </w:r>
      <w:proofErr w:type="gramEnd"/>
      <w:r w:rsidRPr="00CE1BF0">
        <w:rPr>
          <w:rFonts w:ascii="Calibri" w:eastAsia="Calibri" w:hAnsi="Calibri" w:cs="Arial"/>
          <w:color w:val="auto"/>
          <w:sz w:val="18"/>
          <w:szCs w:val="18"/>
          <w:lang w:val="en-US"/>
        </w:rPr>
        <w:t xml:space="preserve"> </w:t>
      </w:r>
      <w:proofErr w:type="gramStart"/>
      <w:r w:rsidRPr="00CE1BF0">
        <w:rPr>
          <w:rFonts w:ascii="Calibri" w:eastAsia="Calibri" w:hAnsi="Calibri" w:cs="Arial"/>
          <w:color w:val="auto"/>
          <w:sz w:val="18"/>
          <w:szCs w:val="18"/>
          <w:lang w:val="en-US"/>
        </w:rPr>
        <w:t>Policy research working paper No. 6630.</w:t>
      </w:r>
      <w:proofErr w:type="gramEnd"/>
      <w:r w:rsidRPr="00CE1BF0">
        <w:rPr>
          <w:rFonts w:ascii="Calibri" w:eastAsia="Calibri" w:hAnsi="Calibri" w:cs="Arial"/>
          <w:color w:val="auto"/>
          <w:sz w:val="18"/>
          <w:szCs w:val="18"/>
          <w:lang w:val="en-US"/>
        </w:rPr>
        <w:t xml:space="preserve"> </w:t>
      </w:r>
      <w:proofErr w:type="gramStart"/>
      <w:r w:rsidRPr="00CE1BF0">
        <w:rPr>
          <w:rFonts w:ascii="Calibri" w:eastAsia="Calibri" w:hAnsi="Calibri" w:cs="Arial"/>
          <w:color w:val="auto"/>
          <w:sz w:val="18"/>
          <w:szCs w:val="18"/>
          <w:lang w:val="en-US"/>
        </w:rPr>
        <w:t>World Bank.</w:t>
      </w:r>
      <w:proofErr w:type="gramEnd"/>
      <w:r w:rsidRPr="00CE1BF0">
        <w:rPr>
          <w:rFonts w:ascii="Calibri" w:eastAsia="Calibri" w:hAnsi="Calibri" w:cs="Arial"/>
          <w:color w:val="auto"/>
          <w:sz w:val="18"/>
          <w:szCs w:val="18"/>
          <w:lang w:val="en-US"/>
        </w:rPr>
        <w:t xml:space="preserve"> At: </w:t>
      </w:r>
      <w:hyperlink r:id="rId9" w:history="1">
        <w:r w:rsidRPr="00CE1BF0">
          <w:rPr>
            <w:rFonts w:ascii="Calibri" w:eastAsia="Calibri" w:hAnsi="Calibri" w:cs="Arial"/>
            <w:color w:val="0000FF"/>
            <w:sz w:val="18"/>
            <w:szCs w:val="18"/>
            <w:u w:val="single"/>
            <w:lang w:val="en-US"/>
          </w:rPr>
          <w:t>http://elibrary.worldbank.org/doi/pdf/10.1596/1813-9450-6630</w:t>
        </w:r>
      </w:hyperlink>
    </w:p>
    <w:p w:rsidR="00CE1BF0" w:rsidRPr="00CE1BF0" w:rsidRDefault="00CE1BF0" w:rsidP="00CE1BF0">
      <w:pPr>
        <w:spacing w:after="200" w:line="276" w:lineRule="auto"/>
        <w:jc w:val="both"/>
        <w:rPr>
          <w:rFonts w:ascii="Calibri" w:eastAsia="Calibri" w:hAnsi="Calibri" w:cs="Arial"/>
          <w:color w:val="auto"/>
          <w:sz w:val="18"/>
          <w:szCs w:val="18"/>
          <w:lang w:val="en-US"/>
        </w:rPr>
      </w:pPr>
      <w:r w:rsidRPr="00CE1BF0">
        <w:rPr>
          <w:rFonts w:ascii="Calibri" w:eastAsia="Calibri" w:hAnsi="Calibri" w:cs="Arial"/>
          <w:color w:val="auto"/>
          <w:sz w:val="18"/>
          <w:szCs w:val="18"/>
          <w:lang w:val="en-US"/>
        </w:rPr>
        <w:t xml:space="preserve">Rao </w:t>
      </w:r>
      <w:proofErr w:type="spellStart"/>
      <w:r w:rsidRPr="00CE1BF0">
        <w:rPr>
          <w:rFonts w:ascii="Calibri" w:eastAsia="Calibri" w:hAnsi="Calibri" w:cs="Arial"/>
          <w:color w:val="auto"/>
          <w:sz w:val="18"/>
          <w:szCs w:val="18"/>
          <w:lang w:val="en-US"/>
        </w:rPr>
        <w:t>Smriti</w:t>
      </w:r>
      <w:proofErr w:type="spellEnd"/>
      <w:r w:rsidRPr="00CE1BF0">
        <w:rPr>
          <w:rFonts w:ascii="Calibri" w:eastAsia="Calibri" w:hAnsi="Calibri" w:cs="Arial"/>
          <w:color w:val="auto"/>
          <w:sz w:val="18"/>
          <w:szCs w:val="18"/>
          <w:lang w:val="en-US"/>
        </w:rPr>
        <w:t xml:space="preserve">. </w:t>
      </w:r>
      <w:proofErr w:type="gramStart"/>
      <w:r w:rsidRPr="00CE1BF0">
        <w:rPr>
          <w:rFonts w:ascii="Calibri" w:eastAsia="Calibri" w:hAnsi="Calibri" w:cs="Arial"/>
          <w:color w:val="auto"/>
          <w:sz w:val="18"/>
          <w:szCs w:val="18"/>
          <w:lang w:val="en-US"/>
        </w:rPr>
        <w:t>(2015). Gender and Financial Inclusion through the Post.</w:t>
      </w:r>
      <w:proofErr w:type="gramEnd"/>
      <w:r w:rsidRPr="00CE1BF0">
        <w:rPr>
          <w:rFonts w:ascii="Calibri" w:eastAsia="Calibri" w:hAnsi="Calibri" w:cs="Arial"/>
          <w:color w:val="auto"/>
          <w:sz w:val="18"/>
          <w:szCs w:val="18"/>
          <w:lang w:val="en-US"/>
        </w:rPr>
        <w:t xml:space="preserve"> </w:t>
      </w:r>
      <w:proofErr w:type="gramStart"/>
      <w:r w:rsidRPr="00CE1BF0">
        <w:rPr>
          <w:rFonts w:ascii="Calibri" w:eastAsia="Calibri" w:hAnsi="Calibri" w:cs="Arial"/>
          <w:color w:val="auto"/>
          <w:sz w:val="18"/>
          <w:szCs w:val="18"/>
          <w:lang w:val="en-US"/>
        </w:rPr>
        <w:t>UN Women and UPU.</w:t>
      </w:r>
      <w:proofErr w:type="gramEnd"/>
      <w:r w:rsidRPr="00CE1BF0">
        <w:rPr>
          <w:rFonts w:ascii="Calibri" w:eastAsia="Calibri" w:hAnsi="Calibri" w:cs="Arial"/>
          <w:color w:val="auto"/>
          <w:sz w:val="18"/>
          <w:szCs w:val="18"/>
          <w:lang w:val="en-US"/>
        </w:rPr>
        <w:t xml:space="preserve"> </w:t>
      </w:r>
      <w:proofErr w:type="gramStart"/>
      <w:r w:rsidRPr="00CE1BF0">
        <w:rPr>
          <w:rFonts w:ascii="Calibri" w:eastAsia="Calibri" w:hAnsi="Calibri" w:cs="Arial"/>
          <w:color w:val="auto"/>
          <w:sz w:val="18"/>
          <w:szCs w:val="18"/>
          <w:lang w:val="en-US"/>
        </w:rPr>
        <w:t>Forthcoming.</w:t>
      </w:r>
      <w:proofErr w:type="gramEnd"/>
    </w:p>
    <w:p w:rsidR="0035634B" w:rsidRDefault="0035634B" w:rsidP="00CE1BF0">
      <w:bookmarkStart w:id="0" w:name="_GoBack"/>
      <w:bookmarkEnd w:id="0"/>
    </w:p>
    <w:sectPr w:rsidR="0035634B" w:rsidSect="00CE1BF0">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BF0"/>
    <w:rsid w:val="0035634B"/>
    <w:rsid w:val="00374D74"/>
    <w:rsid w:val="00CE1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BalloonText">
    <w:name w:val="Balloon Text"/>
    <w:basedOn w:val="Normal"/>
    <w:link w:val="BalloonTextChar"/>
    <w:uiPriority w:val="99"/>
    <w:semiHidden/>
    <w:unhideWhenUsed/>
    <w:rsid w:val="00CE1BF0"/>
    <w:rPr>
      <w:rFonts w:ascii="Tahoma" w:hAnsi="Tahoma" w:cs="Tahoma"/>
      <w:sz w:val="16"/>
      <w:szCs w:val="16"/>
    </w:rPr>
  </w:style>
  <w:style w:type="character" w:customStyle="1" w:styleId="BalloonTextChar">
    <w:name w:val="Balloon Text Char"/>
    <w:basedOn w:val="DefaultParagraphFont"/>
    <w:link w:val="BalloonText"/>
    <w:uiPriority w:val="99"/>
    <w:semiHidden/>
    <w:rsid w:val="00CE1B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BalloonText">
    <w:name w:val="Balloon Text"/>
    <w:basedOn w:val="Normal"/>
    <w:link w:val="BalloonTextChar"/>
    <w:uiPriority w:val="99"/>
    <w:semiHidden/>
    <w:unhideWhenUsed/>
    <w:rsid w:val="00CE1BF0"/>
    <w:rPr>
      <w:rFonts w:ascii="Tahoma" w:hAnsi="Tahoma" w:cs="Tahoma"/>
      <w:sz w:val="16"/>
      <w:szCs w:val="16"/>
    </w:rPr>
  </w:style>
  <w:style w:type="character" w:customStyle="1" w:styleId="BalloonTextChar">
    <w:name w:val="Balloon Text Char"/>
    <w:basedOn w:val="DefaultParagraphFont"/>
    <w:link w:val="BalloonText"/>
    <w:uiPriority w:val="99"/>
    <w:semiHidden/>
    <w:rsid w:val="00CE1B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ls.upu.int/pls/ap/ssp_report.main?p_language=AN&amp;p_choice=BROWSE" TargetMode="External"/><Relationship Id="rId3" Type="http://schemas.openxmlformats.org/officeDocument/2006/relationships/settings" Target="settings.xml"/><Relationship Id="rId7" Type="http://schemas.openxmlformats.org/officeDocument/2006/relationships/image" Target="media/image2.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upu.int/uploads/tx_sbdownloader/publicationTrendsDevelopmentStrategiesForThePostalSectorEn.pdf" TargetMode="External"/><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library.worldbank.org/doi/pdf/10.1596/1813-9450-66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2015-05-19T19:46:00Z</dcterms:created>
  <dcterms:modified xsi:type="dcterms:W3CDTF">2015-05-19T19:46:00Z</dcterms:modified>
</cp:coreProperties>
</file>